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169" w:rsidRDefault="00930169">
      <w:r>
        <w:t xml:space="preserve">PART II: Imagine that you are a manager at a delivery service and you are creating a report to project the effects on your company of rising gas prices in the next ten years. Using the preceding statistical analysis as your </w:t>
      </w:r>
      <w:r>
        <w:t>basis to</w:t>
      </w:r>
      <w:r>
        <w:t xml:space="preserve"> support your claims, while interpreting the</w:t>
      </w:r>
      <w:r>
        <w:t xml:space="preserve"> results from this perspective, and include</w:t>
      </w:r>
      <w:r>
        <w:t xml:space="preserve"> the following considerations: </w:t>
      </w:r>
    </w:p>
    <w:p w:rsidR="00930169" w:rsidRDefault="00930169" w:rsidP="00930169">
      <w:pPr>
        <w:pStyle w:val="ListParagraph"/>
        <w:numPr>
          <w:ilvl w:val="0"/>
          <w:numId w:val="1"/>
        </w:numPr>
      </w:pPr>
      <w:r>
        <w:t xml:space="preserve">Introduce the project and its significance to the company. </w:t>
      </w:r>
    </w:p>
    <w:p w:rsidR="00930169" w:rsidRDefault="00930169" w:rsidP="00930169">
      <w:pPr>
        <w:pStyle w:val="ListParagraph"/>
        <w:numPr>
          <w:ilvl w:val="0"/>
          <w:numId w:val="1"/>
        </w:numPr>
      </w:pPr>
      <w:r>
        <w:t xml:space="preserve">Explain the statistical analysis that you completed in Part </w:t>
      </w:r>
      <w:proofErr w:type="gramStart"/>
      <w:r>
        <w:t>I</w:t>
      </w:r>
      <w:proofErr w:type="gramEnd"/>
      <w:r>
        <w:t xml:space="preserve">. </w:t>
      </w:r>
    </w:p>
    <w:p w:rsidR="00930169" w:rsidRDefault="00930169" w:rsidP="00930169">
      <w:pPr>
        <w:pStyle w:val="ListParagraph"/>
        <w:numPr>
          <w:ilvl w:val="0"/>
          <w:numId w:val="1"/>
        </w:numPr>
      </w:pPr>
      <w:r>
        <w:t xml:space="preserve">Be sure to explain where the data came from, what analysis was done, and what the results were. </w:t>
      </w:r>
    </w:p>
    <w:p w:rsidR="00930169" w:rsidRDefault="00930169" w:rsidP="00930169">
      <w:pPr>
        <w:pStyle w:val="ListParagraph"/>
        <w:numPr>
          <w:ilvl w:val="0"/>
          <w:numId w:val="1"/>
        </w:numPr>
      </w:pPr>
      <w:r>
        <w:t xml:space="preserve">Give conclusions that you have drawn from the data. </w:t>
      </w:r>
    </w:p>
    <w:p w:rsidR="00930169" w:rsidRDefault="00930169" w:rsidP="00930169">
      <w:pPr>
        <w:pStyle w:val="ListParagraph"/>
        <w:numPr>
          <w:ilvl w:val="0"/>
          <w:numId w:val="1"/>
        </w:numPr>
      </w:pPr>
      <w:r>
        <w:t xml:space="preserve">Consider the effects of your gas price predictions on the delivery business. </w:t>
      </w:r>
    </w:p>
    <w:p w:rsidR="00930169" w:rsidRDefault="00930169" w:rsidP="00930169">
      <w:pPr>
        <w:pStyle w:val="ListParagraph"/>
        <w:numPr>
          <w:ilvl w:val="0"/>
          <w:numId w:val="1"/>
        </w:numPr>
      </w:pPr>
      <w:r>
        <w:t xml:space="preserve">Also consider whether or not you believe your predicted gas prices are accurate. </w:t>
      </w:r>
    </w:p>
    <w:p w:rsidR="00172A2D" w:rsidRDefault="00930169" w:rsidP="00930169">
      <w:pPr>
        <w:pStyle w:val="ListParagraph"/>
        <w:numPr>
          <w:ilvl w:val="0"/>
          <w:numId w:val="1"/>
        </w:numPr>
      </w:pPr>
      <w:r>
        <w:t>What could occur in the future that would change your linear regression line and therefore your prediction?</w:t>
      </w:r>
    </w:p>
    <w:p w:rsidR="00930169" w:rsidRDefault="00930169" w:rsidP="00930169">
      <w:pPr>
        <w:pStyle w:val="ListParagraph"/>
      </w:pPr>
    </w:p>
    <w:p w:rsidR="00930169" w:rsidRDefault="00930169" w:rsidP="00930169">
      <w:pPr>
        <w:pStyle w:val="ListParagraph"/>
      </w:pPr>
    </w:p>
    <w:p w:rsidR="00930169" w:rsidRDefault="00930169" w:rsidP="00930169">
      <w:pPr>
        <w:pStyle w:val="ListParagraph"/>
      </w:pPr>
    </w:p>
    <w:p w:rsidR="00930169" w:rsidRPr="00930169" w:rsidRDefault="00930169" w:rsidP="00930169">
      <w:pPr>
        <w:pStyle w:val="ListParagraph"/>
        <w:spacing w:line="480" w:lineRule="auto"/>
        <w:jc w:val="center"/>
        <w:rPr>
          <w:rFonts w:ascii="Times New Roman" w:hAnsi="Times New Roman" w:cs="Times New Roman"/>
          <w:sz w:val="24"/>
          <w:szCs w:val="24"/>
        </w:rPr>
      </w:pPr>
      <w:r w:rsidRPr="00930169">
        <w:rPr>
          <w:rFonts w:ascii="Times New Roman" w:hAnsi="Times New Roman" w:cs="Times New Roman"/>
          <w:sz w:val="24"/>
          <w:szCs w:val="24"/>
        </w:rPr>
        <w:t>Name</w:t>
      </w:r>
    </w:p>
    <w:p w:rsidR="00930169" w:rsidRPr="00930169" w:rsidRDefault="00930169" w:rsidP="00930169">
      <w:pPr>
        <w:pStyle w:val="ListParagraph"/>
        <w:spacing w:line="480" w:lineRule="auto"/>
        <w:jc w:val="center"/>
        <w:rPr>
          <w:rFonts w:ascii="Times New Roman" w:hAnsi="Times New Roman" w:cs="Times New Roman"/>
          <w:sz w:val="24"/>
          <w:szCs w:val="24"/>
        </w:rPr>
      </w:pPr>
      <w:r w:rsidRPr="00930169">
        <w:rPr>
          <w:rFonts w:ascii="Times New Roman" w:hAnsi="Times New Roman" w:cs="Times New Roman"/>
          <w:sz w:val="24"/>
          <w:szCs w:val="24"/>
        </w:rPr>
        <w:t>Class</w:t>
      </w:r>
    </w:p>
    <w:p w:rsidR="00930169" w:rsidRPr="00930169" w:rsidRDefault="00930169" w:rsidP="00930169">
      <w:pPr>
        <w:pStyle w:val="ListParagraph"/>
        <w:spacing w:line="480" w:lineRule="auto"/>
        <w:jc w:val="center"/>
        <w:rPr>
          <w:rFonts w:ascii="Times New Roman" w:hAnsi="Times New Roman" w:cs="Times New Roman"/>
          <w:sz w:val="24"/>
          <w:szCs w:val="24"/>
        </w:rPr>
      </w:pPr>
      <w:r w:rsidRPr="00930169">
        <w:rPr>
          <w:rFonts w:ascii="Times New Roman" w:hAnsi="Times New Roman" w:cs="Times New Roman"/>
          <w:sz w:val="24"/>
          <w:szCs w:val="24"/>
        </w:rPr>
        <w:t>University</w:t>
      </w:r>
    </w:p>
    <w:p w:rsidR="00930169" w:rsidRPr="00930169" w:rsidRDefault="00930169" w:rsidP="00930169">
      <w:pPr>
        <w:pStyle w:val="ListParagraph"/>
        <w:spacing w:line="480" w:lineRule="auto"/>
        <w:jc w:val="center"/>
        <w:rPr>
          <w:rFonts w:ascii="Times New Roman" w:hAnsi="Times New Roman" w:cs="Times New Roman"/>
          <w:sz w:val="24"/>
          <w:szCs w:val="24"/>
        </w:rPr>
      </w:pPr>
      <w:r w:rsidRPr="00930169">
        <w:rPr>
          <w:rFonts w:ascii="Times New Roman" w:hAnsi="Times New Roman" w:cs="Times New Roman"/>
          <w:sz w:val="24"/>
          <w:szCs w:val="24"/>
        </w:rPr>
        <w:t xml:space="preserve">Instructor </w:t>
      </w:r>
    </w:p>
    <w:p w:rsidR="00930169" w:rsidRDefault="00930169" w:rsidP="00930169">
      <w:pPr>
        <w:pStyle w:val="ListParagraph"/>
        <w:spacing w:line="480" w:lineRule="auto"/>
        <w:jc w:val="center"/>
        <w:rPr>
          <w:rFonts w:ascii="Times New Roman" w:hAnsi="Times New Roman" w:cs="Times New Roman"/>
          <w:sz w:val="24"/>
          <w:szCs w:val="24"/>
        </w:rPr>
      </w:pPr>
      <w:r w:rsidRPr="00930169">
        <w:rPr>
          <w:rFonts w:ascii="Times New Roman" w:hAnsi="Times New Roman" w:cs="Times New Roman"/>
          <w:sz w:val="24"/>
          <w:szCs w:val="24"/>
        </w:rPr>
        <w:t>Date</w:t>
      </w:r>
    </w:p>
    <w:p w:rsidR="00930169" w:rsidRDefault="00930169" w:rsidP="00930169">
      <w:pPr>
        <w:pStyle w:val="ListParagraph"/>
        <w:spacing w:line="480" w:lineRule="auto"/>
        <w:jc w:val="center"/>
        <w:rPr>
          <w:rFonts w:ascii="Times New Roman" w:hAnsi="Times New Roman" w:cs="Times New Roman"/>
          <w:sz w:val="24"/>
          <w:szCs w:val="24"/>
        </w:rPr>
      </w:pPr>
    </w:p>
    <w:p w:rsidR="00930169" w:rsidRDefault="00930169" w:rsidP="00930169">
      <w:pPr>
        <w:pStyle w:val="ListParagraph"/>
        <w:spacing w:line="480" w:lineRule="auto"/>
        <w:jc w:val="center"/>
        <w:rPr>
          <w:rFonts w:ascii="Times New Roman" w:hAnsi="Times New Roman" w:cs="Times New Roman"/>
          <w:sz w:val="24"/>
          <w:szCs w:val="24"/>
        </w:rPr>
      </w:pPr>
    </w:p>
    <w:p w:rsidR="00930169" w:rsidRDefault="00930169" w:rsidP="00930169">
      <w:pPr>
        <w:pStyle w:val="ListParagraph"/>
        <w:spacing w:line="480" w:lineRule="auto"/>
        <w:jc w:val="center"/>
        <w:rPr>
          <w:rFonts w:ascii="Times New Roman" w:hAnsi="Times New Roman" w:cs="Times New Roman"/>
          <w:sz w:val="24"/>
          <w:szCs w:val="24"/>
        </w:rPr>
      </w:pPr>
    </w:p>
    <w:p w:rsidR="00930169" w:rsidRDefault="00930169" w:rsidP="00930169">
      <w:pPr>
        <w:pStyle w:val="ListParagraph"/>
        <w:spacing w:line="480" w:lineRule="auto"/>
        <w:jc w:val="center"/>
        <w:rPr>
          <w:rFonts w:ascii="Times New Roman" w:hAnsi="Times New Roman" w:cs="Times New Roman"/>
          <w:sz w:val="24"/>
          <w:szCs w:val="24"/>
        </w:rPr>
      </w:pPr>
    </w:p>
    <w:p w:rsidR="00930169" w:rsidRDefault="00930169" w:rsidP="00930169">
      <w:pPr>
        <w:pStyle w:val="ListParagraph"/>
        <w:spacing w:line="480" w:lineRule="auto"/>
        <w:jc w:val="center"/>
        <w:rPr>
          <w:rFonts w:ascii="Times New Roman" w:hAnsi="Times New Roman" w:cs="Times New Roman"/>
          <w:sz w:val="24"/>
          <w:szCs w:val="24"/>
        </w:rPr>
      </w:pPr>
    </w:p>
    <w:p w:rsidR="00930169" w:rsidRDefault="00930169" w:rsidP="00930169">
      <w:pPr>
        <w:pStyle w:val="ListParagraph"/>
        <w:spacing w:line="480" w:lineRule="auto"/>
        <w:jc w:val="center"/>
        <w:rPr>
          <w:rFonts w:ascii="Times New Roman" w:hAnsi="Times New Roman" w:cs="Times New Roman"/>
          <w:sz w:val="24"/>
          <w:szCs w:val="24"/>
        </w:rPr>
      </w:pPr>
    </w:p>
    <w:p w:rsidR="00930169" w:rsidRDefault="00930169" w:rsidP="00930169">
      <w:pPr>
        <w:pStyle w:val="ListParagraph"/>
        <w:spacing w:line="480" w:lineRule="auto"/>
        <w:jc w:val="center"/>
        <w:rPr>
          <w:rFonts w:ascii="Times New Roman" w:hAnsi="Times New Roman" w:cs="Times New Roman"/>
          <w:sz w:val="24"/>
          <w:szCs w:val="24"/>
        </w:rPr>
      </w:pPr>
    </w:p>
    <w:p w:rsidR="00930169" w:rsidRDefault="00930169" w:rsidP="00930169">
      <w:pPr>
        <w:pStyle w:val="ListParagraph"/>
        <w:spacing w:line="480" w:lineRule="auto"/>
        <w:jc w:val="center"/>
        <w:rPr>
          <w:rFonts w:ascii="Times New Roman" w:hAnsi="Times New Roman" w:cs="Times New Roman"/>
          <w:sz w:val="24"/>
          <w:szCs w:val="24"/>
        </w:rPr>
      </w:pPr>
    </w:p>
    <w:p w:rsidR="00930169" w:rsidRDefault="00930169" w:rsidP="00930169">
      <w:pPr>
        <w:pStyle w:val="ListParagraph"/>
        <w:spacing w:line="480" w:lineRule="auto"/>
        <w:jc w:val="center"/>
        <w:rPr>
          <w:rFonts w:ascii="Times New Roman" w:hAnsi="Times New Roman" w:cs="Times New Roman"/>
          <w:sz w:val="24"/>
          <w:szCs w:val="24"/>
        </w:rPr>
      </w:pPr>
    </w:p>
    <w:p w:rsidR="00930169" w:rsidRPr="002F5265" w:rsidRDefault="00930169" w:rsidP="002F5265">
      <w:pPr>
        <w:spacing w:line="480" w:lineRule="auto"/>
        <w:ind w:firstLine="720"/>
        <w:rPr>
          <w:rFonts w:ascii="Times New Roman" w:hAnsi="Times New Roman" w:cs="Times New Roman"/>
          <w:sz w:val="24"/>
          <w:szCs w:val="24"/>
        </w:rPr>
      </w:pPr>
      <w:r w:rsidRPr="002F5265">
        <w:rPr>
          <w:rFonts w:ascii="Times New Roman" w:hAnsi="Times New Roman" w:cs="Times New Roman"/>
          <w:sz w:val="24"/>
          <w:szCs w:val="24"/>
        </w:rPr>
        <w:lastRenderedPageBreak/>
        <w:t xml:space="preserve">Gas prices have been rising ever since gas hit the market. Gas, unfortunately, is a limited commodity, meaning there will be only so much of it. The more we use it up, the higher the price gets. In economic terms, the supply is deteriorating exponentially while the demand is rising faster than ever. </w:t>
      </w:r>
      <w:r w:rsidR="00DB287C">
        <w:rPr>
          <w:rFonts w:ascii="Times New Roman" w:hAnsi="Times New Roman" w:cs="Times New Roman"/>
          <w:sz w:val="24"/>
          <w:szCs w:val="24"/>
        </w:rPr>
        <w:t xml:space="preserve">Even the tiniest unrest in the world can trigger an increase in gas prices. The unrest in Libya brought gas prices in America significantly higher. How much gas does America get from Libya? </w:t>
      </w:r>
      <w:proofErr w:type="gramStart"/>
      <w:r w:rsidR="00DB287C">
        <w:rPr>
          <w:rFonts w:ascii="Times New Roman" w:hAnsi="Times New Roman" w:cs="Times New Roman"/>
          <w:sz w:val="24"/>
          <w:szCs w:val="24"/>
        </w:rPr>
        <w:t>Less than 1/10 of a percent.</w:t>
      </w:r>
      <w:proofErr w:type="gramEnd"/>
      <w:r w:rsidR="00DB287C">
        <w:rPr>
          <w:rFonts w:ascii="Times New Roman" w:hAnsi="Times New Roman" w:cs="Times New Roman"/>
          <w:sz w:val="24"/>
          <w:szCs w:val="24"/>
        </w:rPr>
        <w:t xml:space="preserve"> </w:t>
      </w:r>
      <w:r w:rsidR="00982E36">
        <w:rPr>
          <w:rFonts w:ascii="Times New Roman" w:hAnsi="Times New Roman" w:cs="Times New Roman"/>
          <w:sz w:val="24"/>
          <w:szCs w:val="24"/>
        </w:rPr>
        <w:t xml:space="preserve">Huge events like the mining disasters where the gas facilities burst and leaked millions of gallons of gas also influence the gas prices heavily. </w:t>
      </w:r>
      <w:r w:rsidR="00DB287C">
        <w:rPr>
          <w:rFonts w:ascii="Times New Roman" w:hAnsi="Times New Roman" w:cs="Times New Roman"/>
          <w:sz w:val="24"/>
          <w:szCs w:val="24"/>
        </w:rPr>
        <w:t xml:space="preserve">Soon enough, all the </w:t>
      </w:r>
      <w:r w:rsidR="00982E36">
        <w:rPr>
          <w:rFonts w:ascii="Times New Roman" w:hAnsi="Times New Roman" w:cs="Times New Roman"/>
          <w:sz w:val="24"/>
          <w:szCs w:val="24"/>
        </w:rPr>
        <w:t>gas will be depleted, which is a worry which is very important, but no one seems to take community action to help reduce the use of gas.</w:t>
      </w:r>
      <w:bookmarkStart w:id="0" w:name="_GoBack"/>
      <w:bookmarkEnd w:id="0"/>
      <w:r w:rsidR="00DB287C">
        <w:rPr>
          <w:rFonts w:ascii="Times New Roman" w:hAnsi="Times New Roman" w:cs="Times New Roman"/>
          <w:sz w:val="24"/>
          <w:szCs w:val="24"/>
        </w:rPr>
        <w:t xml:space="preserve"> </w:t>
      </w:r>
      <w:r w:rsidRPr="002F5265">
        <w:rPr>
          <w:rFonts w:ascii="Times New Roman" w:hAnsi="Times New Roman" w:cs="Times New Roman"/>
          <w:sz w:val="24"/>
          <w:szCs w:val="24"/>
        </w:rPr>
        <w:t xml:space="preserve">Unless it is figured out how to power cars and other machines without using gas, the world will soon have to go shop for bicycles. </w:t>
      </w:r>
      <w:r w:rsidR="002F5265" w:rsidRPr="002F5265">
        <w:rPr>
          <w:rFonts w:ascii="Times New Roman" w:hAnsi="Times New Roman" w:cs="Times New Roman"/>
          <w:sz w:val="24"/>
          <w:szCs w:val="24"/>
        </w:rPr>
        <w:tab/>
      </w:r>
    </w:p>
    <w:p w:rsidR="002F5265" w:rsidRDefault="002F5265" w:rsidP="002F5265">
      <w:pPr>
        <w:spacing w:line="480" w:lineRule="auto"/>
        <w:rPr>
          <w:rFonts w:ascii="Times New Roman" w:hAnsi="Times New Roman" w:cs="Times New Roman"/>
          <w:sz w:val="24"/>
          <w:szCs w:val="24"/>
        </w:rPr>
      </w:pPr>
      <w:r>
        <w:rPr>
          <w:rFonts w:ascii="Times New Roman" w:hAnsi="Times New Roman" w:cs="Times New Roman"/>
          <w:sz w:val="24"/>
          <w:szCs w:val="24"/>
        </w:rPr>
        <w:tab/>
        <w:t>Our company delivers oil. Back in the 1980s, oil used to be quite cheap, unlike now. We have conducted a project to see the rising gas prices in the next 10 years. This is significant for this company because this company delivers oil; it is necessary for the company to know what prices gas will possibly go to and to prepare from now. Even more possible is the fact that gas gets depleted, thus the company will then have to file bankruptcy since there is no revenue coming in. In this project, we have gathered data from the 1980s up till today on monthly average gas prices. Then, we calculated the yearly average gas price from 1982 up till 2011. Using these statistics, we created a graph with the x-axis as the years and the y-axis as the price. When graphed, the results were quite obvious; gas prices have gone up.  Below is the scatterplot:</w:t>
      </w:r>
    </w:p>
    <w:p w:rsidR="002F5265" w:rsidRDefault="002F5265" w:rsidP="002F5265">
      <w:pPr>
        <w:spacing w:line="480" w:lineRule="auto"/>
        <w:rPr>
          <w:rFonts w:ascii="Times New Roman" w:hAnsi="Times New Roman" w:cs="Times New Roman"/>
          <w:sz w:val="24"/>
          <w:szCs w:val="24"/>
        </w:rPr>
      </w:pPr>
      <w:r>
        <w:rPr>
          <w:noProof/>
        </w:rPr>
        <w:lastRenderedPageBreak/>
        <w:drawing>
          <wp:inline distT="0" distB="0" distL="0" distR="0" wp14:anchorId="54E2435C" wp14:editId="073EFDA3">
            <wp:extent cx="3324225" cy="2428875"/>
            <wp:effectExtent l="0" t="0" r="952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F5265" w:rsidRDefault="002F5265" w:rsidP="002F526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After graphing this, we decided to fit a linear regression line (although </w:t>
      </w:r>
      <w:r w:rsidR="00DB287C">
        <w:rPr>
          <w:rFonts w:ascii="Times New Roman" w:hAnsi="Times New Roman" w:cs="Times New Roman"/>
          <w:sz w:val="24"/>
          <w:szCs w:val="24"/>
        </w:rPr>
        <w:t>quadratic</w:t>
      </w:r>
      <w:r>
        <w:rPr>
          <w:rFonts w:ascii="Times New Roman" w:hAnsi="Times New Roman" w:cs="Times New Roman"/>
          <w:sz w:val="24"/>
          <w:szCs w:val="24"/>
        </w:rPr>
        <w:t xml:space="preserve"> model would fit better). Using the data, we first figured out the model. The model would be y = a + bx. To find the slope (b), we calculated the summation of the x-values times the y-values, summation of all x-values, summation of all y-values, summation of each x-value squared, and the square of the summation of all x-values. Using these statistics, we found out the slope to be equal to 0.0647. Since the slope is positive, this tells us automatically that the gas prices will be steadily rising approximately on an average of 6.47 cents per year. To find the y-intercept (a), we calculated the summation of all x-values and the summation of all y-values (as done before) and the sample size which is 30. Using these statistics, we calculated the y-intercept to be equal to about -127. 6265. The final regression equation is y = 0.0647x – 127.6265. The fit is shown in the scatterplot below:</w:t>
      </w:r>
    </w:p>
    <w:p w:rsidR="002F5265" w:rsidRDefault="002F5265" w:rsidP="002F5265">
      <w:pPr>
        <w:spacing w:line="480" w:lineRule="auto"/>
        <w:ind w:firstLine="720"/>
        <w:rPr>
          <w:rFonts w:ascii="Times New Roman" w:hAnsi="Times New Roman" w:cs="Times New Roman"/>
          <w:sz w:val="24"/>
          <w:szCs w:val="24"/>
        </w:rPr>
      </w:pPr>
      <w:r>
        <w:rPr>
          <w:noProof/>
        </w:rPr>
        <w:lastRenderedPageBreak/>
        <w:drawing>
          <wp:inline distT="0" distB="0" distL="0" distR="0" wp14:anchorId="5EEB5B07" wp14:editId="06100964">
            <wp:extent cx="4254500" cy="3200400"/>
            <wp:effectExtent l="0" t="0" r="12700" b="1905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F5265" w:rsidRDefault="002F5265" w:rsidP="002F5265">
      <w:pPr>
        <w:spacing w:line="480" w:lineRule="auto"/>
        <w:ind w:firstLine="720"/>
        <w:rPr>
          <w:rFonts w:ascii="Times New Roman" w:hAnsi="Times New Roman" w:cs="Times New Roman"/>
          <w:sz w:val="24"/>
          <w:szCs w:val="24"/>
        </w:rPr>
      </w:pPr>
      <w:r>
        <w:rPr>
          <w:rFonts w:ascii="Times New Roman" w:hAnsi="Times New Roman" w:cs="Times New Roman"/>
          <w:sz w:val="24"/>
          <w:szCs w:val="24"/>
        </w:rPr>
        <w:t>In order to make sure this was an</w:t>
      </w:r>
      <w:r w:rsidR="00DB287C">
        <w:rPr>
          <w:rFonts w:ascii="Times New Roman" w:hAnsi="Times New Roman" w:cs="Times New Roman"/>
          <w:sz w:val="24"/>
          <w:szCs w:val="24"/>
        </w:rPr>
        <w:t xml:space="preserve"> accurate fit, we checked the coefficient</w:t>
      </w:r>
      <w:r>
        <w:rPr>
          <w:rFonts w:ascii="Times New Roman" w:hAnsi="Times New Roman" w:cs="Times New Roman"/>
          <w:sz w:val="24"/>
          <w:szCs w:val="24"/>
        </w:rPr>
        <w:t xml:space="preserve"> of determination. The c</w:t>
      </w:r>
      <w:r w:rsidR="00DB287C">
        <w:rPr>
          <w:rFonts w:ascii="Times New Roman" w:hAnsi="Times New Roman" w:cs="Times New Roman"/>
          <w:sz w:val="24"/>
          <w:szCs w:val="24"/>
        </w:rPr>
        <w:t>oefficient</w:t>
      </w:r>
      <w:r>
        <w:rPr>
          <w:rFonts w:ascii="Times New Roman" w:hAnsi="Times New Roman" w:cs="Times New Roman"/>
          <w:sz w:val="24"/>
          <w:szCs w:val="24"/>
        </w:rPr>
        <w:t xml:space="preserve"> of determination (R^2) is 0.6552. This means that about 65.52% of the variation can be explained; </w:t>
      </w:r>
      <w:r w:rsidR="00DB287C">
        <w:rPr>
          <w:rFonts w:ascii="Times New Roman" w:hAnsi="Times New Roman" w:cs="Times New Roman"/>
          <w:sz w:val="24"/>
          <w:szCs w:val="24"/>
        </w:rPr>
        <w:t xml:space="preserve">34.48% of the variation can’t be explained. The </w:t>
      </w:r>
      <w:r w:rsidR="00DB287C">
        <w:rPr>
          <w:rFonts w:ascii="Times New Roman" w:hAnsi="Times New Roman" w:cs="Times New Roman"/>
          <w:sz w:val="24"/>
          <w:szCs w:val="24"/>
        </w:rPr>
        <w:t>correlation coefficient</w:t>
      </w:r>
      <w:r w:rsidR="00DB287C">
        <w:rPr>
          <w:rFonts w:ascii="Times New Roman" w:hAnsi="Times New Roman" w:cs="Times New Roman"/>
          <w:sz w:val="24"/>
          <w:szCs w:val="24"/>
        </w:rPr>
        <w:t xml:space="preserve"> is equal to the square root of the coefficient of the determination. After taking the square root of 0.6552 results in about 0.8094 which is the correlation coefficient, we concluded the linear line is a good fit, but not the best. A quadratic equation model would fit better. Using megastat to calculate the equation, we got the equation of y = 0.0052x^2 – 20.532 + 20433. Shown below is the scatterplot:</w:t>
      </w:r>
    </w:p>
    <w:p w:rsidR="00DB287C" w:rsidRDefault="00DB287C" w:rsidP="002F5265">
      <w:pPr>
        <w:spacing w:line="480" w:lineRule="auto"/>
        <w:ind w:firstLine="720"/>
        <w:rPr>
          <w:rFonts w:ascii="Times New Roman" w:hAnsi="Times New Roman" w:cs="Times New Roman"/>
          <w:sz w:val="24"/>
          <w:szCs w:val="24"/>
        </w:rPr>
      </w:pPr>
      <w:r>
        <w:rPr>
          <w:noProof/>
        </w:rPr>
        <w:lastRenderedPageBreak/>
        <w:drawing>
          <wp:inline distT="0" distB="0" distL="0" distR="0" wp14:anchorId="4752E04C" wp14:editId="5173A65D">
            <wp:extent cx="3343275" cy="2638425"/>
            <wp:effectExtent l="0" t="0" r="9525" b="95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06F8A" w:rsidRDefault="00DB287C" w:rsidP="00DB287C">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fit of this equation is much better; the coefficient of determination is 0.9038, which is much better than 0.6552. The correlation coefficient is 0.95, which is an excellent fit. No matter what fit is used, the results are the same: gas prices are rising significantly, and will not stop rising. The data shows a quadratic increase (ignoring the negative side of the graph). If using the linear regression model, the gas price in 2020 will be somewhere near 3.044 dollars on average (which is still less than what we pay). </w:t>
      </w:r>
      <w:r w:rsidR="00306F8A">
        <w:rPr>
          <w:rFonts w:ascii="Times New Roman" w:hAnsi="Times New Roman" w:cs="Times New Roman"/>
          <w:sz w:val="24"/>
          <w:szCs w:val="24"/>
        </w:rPr>
        <w:t xml:space="preserve">Using the quadratic equation, gas prices on average in 2020 will be over 5 dollars. I definitely do believe the quadratic regression model gives more accurate predictions than the linear regression fit because the prices seem more reasonable. The prediction by the linear regression model shows a price which is less than what I pay for gas today. Another reason why the linear regression model is not as accurate as the quadratic regression model is because it has a smaller correlation coefficient than the quadratic regression fit; thus the fit is better for the quadratic model and it can forecast more accurately. </w:t>
      </w:r>
      <w:r w:rsidR="00D52C06">
        <w:rPr>
          <w:rFonts w:ascii="Times New Roman" w:hAnsi="Times New Roman" w:cs="Times New Roman"/>
          <w:sz w:val="24"/>
          <w:szCs w:val="24"/>
        </w:rPr>
        <w:t>If we carefully look at the graph itself, it can be concluded that the gas prices from 1982 to 2000 were very close to each other, almost in uniformity, showing that the gas prices did not rise at that time. Gas prices started to rise after 2000,</w:t>
      </w:r>
      <w:r w:rsidR="00982E36">
        <w:rPr>
          <w:rFonts w:ascii="Times New Roman" w:hAnsi="Times New Roman" w:cs="Times New Roman"/>
          <w:sz w:val="24"/>
          <w:szCs w:val="24"/>
        </w:rPr>
        <w:t xml:space="preserve"> which was when several events occurred such as </w:t>
      </w:r>
      <w:r w:rsidR="00982E36">
        <w:rPr>
          <w:rFonts w:ascii="Times New Roman" w:hAnsi="Times New Roman" w:cs="Times New Roman"/>
          <w:sz w:val="24"/>
          <w:szCs w:val="24"/>
        </w:rPr>
        <w:lastRenderedPageBreak/>
        <w:t>conflict in the Middle East, 9/11, Libya unrest, Sudan division, natural disasters etc. Such events are bound to occur more in the world more and more as time goes on, and there is nothing that can be done to fix this.</w:t>
      </w:r>
    </w:p>
    <w:p w:rsidR="00DB287C" w:rsidRPr="002F5265" w:rsidRDefault="00306F8A" w:rsidP="00306F8A">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If gas prices increase as they are right now, the delivery of oil will get more expensive for the customer. While that means more revenue for the company, the company still has to purchase the oil at the high price with a margin when distributing. In all, whatever revenue is being made today, the same will be tomorrow and 10 years later. Even though it is projected for gas prices to go up steadily, there are some things that could happen which can influence this forecast. If it is figured out how to reuse gas somehow, the prices may even go down or stay the same. If it is figured out how to mine gas in places where it seems impossible or a brand new gas area has been found which has so much that could last 5 more years, the gas prices might go down. If an alternate energy source is discovered, and is implemented in cars (such as only water as fuel), then gas prices would go down. </w:t>
      </w:r>
      <w:r w:rsidR="00982E36">
        <w:rPr>
          <w:rFonts w:ascii="Times New Roman" w:hAnsi="Times New Roman" w:cs="Times New Roman"/>
          <w:sz w:val="24"/>
          <w:szCs w:val="24"/>
        </w:rPr>
        <w:t xml:space="preserve">Some do claim even though gas prices should be going down, its inflation which is causing the gas prices to go up. Even though this is true, inflation is not just one factor in the mix. The main factor which most people think about is the scarcity of gas; inflation is often thought of as a lurking variable, a variable which does influence the change but it is the middleman which no one really notices. Other factors are there as well such as civil unrest in the world, gas mining disasters etc. </w:t>
      </w:r>
    </w:p>
    <w:sectPr w:rsidR="00DB287C" w:rsidRPr="002F526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A30" w:rsidRDefault="00095A30" w:rsidP="00930169">
      <w:pPr>
        <w:spacing w:after="0" w:line="240" w:lineRule="auto"/>
      </w:pPr>
      <w:r>
        <w:separator/>
      </w:r>
    </w:p>
  </w:endnote>
  <w:endnote w:type="continuationSeparator" w:id="0">
    <w:p w:rsidR="00095A30" w:rsidRDefault="00095A30" w:rsidP="0093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4320245"/>
      <w:docPartObj>
        <w:docPartGallery w:val="Page Numbers (Bottom of Page)"/>
        <w:docPartUnique/>
      </w:docPartObj>
    </w:sdtPr>
    <w:sdtEndPr>
      <w:rPr>
        <w:noProof/>
      </w:rPr>
    </w:sdtEndPr>
    <w:sdtContent>
      <w:p w:rsidR="00982E36" w:rsidRDefault="00982E36">
        <w:pPr>
          <w:pStyle w:val="Footer"/>
        </w:pPr>
        <w:r>
          <w:fldChar w:fldCharType="begin"/>
        </w:r>
        <w:r>
          <w:instrText xml:space="preserve"> PAGE   \* MERGEFORMAT </w:instrText>
        </w:r>
        <w:r>
          <w:fldChar w:fldCharType="separate"/>
        </w:r>
        <w:r>
          <w:rPr>
            <w:noProof/>
          </w:rPr>
          <w:t>1</w:t>
        </w:r>
        <w:r>
          <w:rPr>
            <w:noProof/>
          </w:rPr>
          <w:fldChar w:fldCharType="end"/>
        </w:r>
      </w:p>
    </w:sdtContent>
  </w:sdt>
  <w:p w:rsidR="00982E36" w:rsidRDefault="00982E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A30" w:rsidRDefault="00095A30" w:rsidP="00930169">
      <w:pPr>
        <w:spacing w:after="0" w:line="240" w:lineRule="auto"/>
      </w:pPr>
      <w:r>
        <w:separator/>
      </w:r>
    </w:p>
  </w:footnote>
  <w:footnote w:type="continuationSeparator" w:id="0">
    <w:p w:rsidR="00095A30" w:rsidRDefault="00095A30" w:rsidP="009301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169" w:rsidRDefault="00930169">
    <w:pPr>
      <w:pStyle w:val="Header"/>
    </w:pPr>
    <w:r>
      <w:t>RUNNING HEAD: GAS PRICES LINEAR REGRESSION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1D1838"/>
    <w:multiLevelType w:val="hybridMultilevel"/>
    <w:tmpl w:val="771AA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169"/>
    <w:rsid w:val="00095A30"/>
    <w:rsid w:val="00172A2D"/>
    <w:rsid w:val="002F5265"/>
    <w:rsid w:val="00306F8A"/>
    <w:rsid w:val="00930169"/>
    <w:rsid w:val="00982E36"/>
    <w:rsid w:val="00D52C06"/>
    <w:rsid w:val="00DB2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169"/>
    <w:pPr>
      <w:ind w:left="720"/>
      <w:contextualSpacing/>
    </w:pPr>
  </w:style>
  <w:style w:type="paragraph" w:styleId="Header">
    <w:name w:val="header"/>
    <w:basedOn w:val="Normal"/>
    <w:link w:val="HeaderChar"/>
    <w:uiPriority w:val="99"/>
    <w:unhideWhenUsed/>
    <w:rsid w:val="0093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0169"/>
  </w:style>
  <w:style w:type="paragraph" w:styleId="Footer">
    <w:name w:val="footer"/>
    <w:basedOn w:val="Normal"/>
    <w:link w:val="FooterChar"/>
    <w:uiPriority w:val="99"/>
    <w:unhideWhenUsed/>
    <w:rsid w:val="0093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169"/>
  </w:style>
  <w:style w:type="paragraph" w:styleId="BalloonText">
    <w:name w:val="Balloon Text"/>
    <w:basedOn w:val="Normal"/>
    <w:link w:val="BalloonTextChar"/>
    <w:uiPriority w:val="99"/>
    <w:semiHidden/>
    <w:unhideWhenUsed/>
    <w:rsid w:val="002F52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52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169"/>
    <w:pPr>
      <w:ind w:left="720"/>
      <w:contextualSpacing/>
    </w:pPr>
  </w:style>
  <w:style w:type="paragraph" w:styleId="Header">
    <w:name w:val="header"/>
    <w:basedOn w:val="Normal"/>
    <w:link w:val="HeaderChar"/>
    <w:uiPriority w:val="99"/>
    <w:unhideWhenUsed/>
    <w:rsid w:val="0093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0169"/>
  </w:style>
  <w:style w:type="paragraph" w:styleId="Footer">
    <w:name w:val="footer"/>
    <w:basedOn w:val="Normal"/>
    <w:link w:val="FooterChar"/>
    <w:uiPriority w:val="99"/>
    <w:unhideWhenUsed/>
    <w:rsid w:val="0093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169"/>
  </w:style>
  <w:style w:type="paragraph" w:styleId="BalloonText">
    <w:name w:val="Balloon Text"/>
    <w:basedOn w:val="Normal"/>
    <w:link w:val="BalloonTextChar"/>
    <w:uiPriority w:val="99"/>
    <w:semiHidden/>
    <w:unhideWhenUsed/>
    <w:rsid w:val="002F52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52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Family\AppData\Local\Temp\Final_Project_Data_Set-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Family\AppData\Local\Temp\Final_Project_Data_Set-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Family\AppData\Local\Temp\Final_Project_Data_Set-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 </a:t>
            </a:r>
          </a:p>
        </c:rich>
      </c:tx>
      <c:overlay val="0"/>
    </c:title>
    <c:autoTitleDeleted val="0"/>
    <c:plotArea>
      <c:layout/>
      <c:scatterChart>
        <c:scatterStyle val="lineMarker"/>
        <c:varyColors val="0"/>
        <c:ser>
          <c:idx val="0"/>
          <c:order val="0"/>
          <c:spPr>
            <a:ln w="28575">
              <a:noFill/>
            </a:ln>
          </c:spPr>
          <c:marker>
            <c:symbol val="diamond"/>
            <c:size val="5"/>
            <c:spPr>
              <a:solidFill>
                <a:srgbClr val="000000"/>
              </a:solidFill>
              <a:ln w="9525">
                <a:noFill/>
              </a:ln>
            </c:spPr>
          </c:marker>
          <c:xVal>
            <c:numRef>
              <c:f>'BLS Data Series'!$S$10:$S$39</c:f>
              <c:numCache>
                <c:formatCode>General</c:formatCode>
                <c:ptCount val="30"/>
                <c:pt idx="0">
                  <c:v>1982</c:v>
                </c:pt>
                <c:pt idx="1">
                  <c:v>1983</c:v>
                </c:pt>
                <c:pt idx="2">
                  <c:v>1984</c:v>
                </c:pt>
                <c:pt idx="3">
                  <c:v>1985</c:v>
                </c:pt>
                <c:pt idx="4">
                  <c:v>1986</c:v>
                </c:pt>
                <c:pt idx="5">
                  <c:v>1987</c:v>
                </c:pt>
                <c:pt idx="6">
                  <c:v>1988</c:v>
                </c:pt>
                <c:pt idx="7">
                  <c:v>1989</c:v>
                </c:pt>
                <c:pt idx="8">
                  <c:v>1990</c:v>
                </c:pt>
                <c:pt idx="9">
                  <c:v>1991</c:v>
                </c:pt>
                <c:pt idx="10">
                  <c:v>1992</c:v>
                </c:pt>
                <c:pt idx="11">
                  <c:v>1993</c:v>
                </c:pt>
                <c:pt idx="12">
                  <c:v>1994</c:v>
                </c:pt>
                <c:pt idx="13">
                  <c:v>1995</c:v>
                </c:pt>
                <c:pt idx="14">
                  <c:v>1996</c:v>
                </c:pt>
                <c:pt idx="15">
                  <c:v>1997</c:v>
                </c:pt>
                <c:pt idx="16">
                  <c:v>1998</c:v>
                </c:pt>
                <c:pt idx="17">
                  <c:v>1999</c:v>
                </c:pt>
                <c:pt idx="18">
                  <c:v>2000</c:v>
                </c:pt>
                <c:pt idx="19">
                  <c:v>2001</c:v>
                </c:pt>
                <c:pt idx="20">
                  <c:v>2002</c:v>
                </c:pt>
                <c:pt idx="21">
                  <c:v>2003</c:v>
                </c:pt>
                <c:pt idx="22">
                  <c:v>2004</c:v>
                </c:pt>
                <c:pt idx="23">
                  <c:v>2005</c:v>
                </c:pt>
                <c:pt idx="24">
                  <c:v>2006</c:v>
                </c:pt>
                <c:pt idx="25">
                  <c:v>2007</c:v>
                </c:pt>
                <c:pt idx="26">
                  <c:v>2008</c:v>
                </c:pt>
                <c:pt idx="27">
                  <c:v>2009</c:v>
                </c:pt>
                <c:pt idx="28">
                  <c:v>2010</c:v>
                </c:pt>
                <c:pt idx="29">
                  <c:v>2011</c:v>
                </c:pt>
              </c:numCache>
            </c:numRef>
          </c:xVal>
          <c:yVal>
            <c:numRef>
              <c:f>'BLS Data Series'!$T$10:$T$39</c:f>
              <c:numCache>
                <c:formatCode>General</c:formatCode>
                <c:ptCount val="30"/>
                <c:pt idx="0">
                  <c:v>1.296</c:v>
                </c:pt>
                <c:pt idx="1">
                  <c:v>1.2410000000000001</c:v>
                </c:pt>
                <c:pt idx="2">
                  <c:v>1.212</c:v>
                </c:pt>
                <c:pt idx="3">
                  <c:v>1.202</c:v>
                </c:pt>
                <c:pt idx="4">
                  <c:v>0.92700000000000005</c:v>
                </c:pt>
                <c:pt idx="5">
                  <c:v>0.94799999999999995</c:v>
                </c:pt>
                <c:pt idx="6">
                  <c:v>0.94599999999999995</c:v>
                </c:pt>
                <c:pt idx="7">
                  <c:v>1.022</c:v>
                </c:pt>
                <c:pt idx="8">
                  <c:v>1.1639999999999999</c:v>
                </c:pt>
                <c:pt idx="9">
                  <c:v>1.1399999999999999</c:v>
                </c:pt>
                <c:pt idx="10">
                  <c:v>1.127</c:v>
                </c:pt>
                <c:pt idx="11">
                  <c:v>1.1080000000000001</c:v>
                </c:pt>
                <c:pt idx="12">
                  <c:v>1.1120000000000001</c:v>
                </c:pt>
                <c:pt idx="13">
                  <c:v>1.147</c:v>
                </c:pt>
                <c:pt idx="14">
                  <c:v>1.2310000000000001</c:v>
                </c:pt>
                <c:pt idx="15">
                  <c:v>1.234</c:v>
                </c:pt>
                <c:pt idx="16">
                  <c:v>1.0589999999999999</c:v>
                </c:pt>
                <c:pt idx="17">
                  <c:v>1.165</c:v>
                </c:pt>
                <c:pt idx="18">
                  <c:v>1.51</c:v>
                </c:pt>
                <c:pt idx="19">
                  <c:v>1.4610000000000001</c:v>
                </c:pt>
                <c:pt idx="20">
                  <c:v>1.3580000000000001</c:v>
                </c:pt>
                <c:pt idx="21">
                  <c:v>1.591</c:v>
                </c:pt>
                <c:pt idx="22">
                  <c:v>1.88</c:v>
                </c:pt>
                <c:pt idx="23">
                  <c:v>2.2949999999999999</c:v>
                </c:pt>
                <c:pt idx="24">
                  <c:v>2.589</c:v>
                </c:pt>
                <c:pt idx="25">
                  <c:v>2.8010000000000002</c:v>
                </c:pt>
                <c:pt idx="26">
                  <c:v>3.266</c:v>
                </c:pt>
                <c:pt idx="27">
                  <c:v>2.35</c:v>
                </c:pt>
                <c:pt idx="28">
                  <c:v>2.7879999999999998</c:v>
                </c:pt>
                <c:pt idx="29">
                  <c:v>3.129</c:v>
                </c:pt>
              </c:numCache>
            </c:numRef>
          </c:yVal>
          <c:smooth val="0"/>
        </c:ser>
        <c:dLbls>
          <c:showLegendKey val="0"/>
          <c:showVal val="0"/>
          <c:showCatName val="0"/>
          <c:showSerName val="0"/>
          <c:showPercent val="0"/>
          <c:showBubbleSize val="0"/>
        </c:dLbls>
        <c:axId val="178083328"/>
        <c:axId val="180907008"/>
      </c:scatterChart>
      <c:valAx>
        <c:axId val="178083328"/>
        <c:scaling>
          <c:orientation val="minMax"/>
        </c:scaling>
        <c:delete val="0"/>
        <c:axPos val="b"/>
        <c:title>
          <c:tx>
            <c:rich>
              <a:bodyPr/>
              <a:lstStyle/>
              <a:p>
                <a:pPr>
                  <a:defRPr sz="1000" b="0" i="0">
                    <a:latin typeface="Arial"/>
                    <a:ea typeface="Arial"/>
                    <a:cs typeface="Arial"/>
                  </a:defRPr>
                </a:pPr>
                <a:r>
                  <a:rPr lang="en-US"/>
                  <a:t>Year</a:t>
                </a:r>
              </a:p>
            </c:rich>
          </c:tx>
          <c:overlay val="0"/>
        </c:title>
        <c:numFmt formatCode="General" sourceLinked="1"/>
        <c:majorTickMark val="cross"/>
        <c:minorTickMark val="cross"/>
        <c:tickLblPos val="nextTo"/>
        <c:txPr>
          <a:bodyPr/>
          <a:lstStyle/>
          <a:p>
            <a:pPr>
              <a:defRPr sz="1000" b="0" i="0">
                <a:latin typeface="Arial"/>
                <a:ea typeface="Arial"/>
                <a:cs typeface="Arial"/>
              </a:defRPr>
            </a:pPr>
            <a:endParaRPr lang="en-US"/>
          </a:p>
        </c:txPr>
        <c:crossAx val="180907008"/>
        <c:crosses val="autoZero"/>
        <c:crossBetween val="midCat"/>
      </c:valAx>
      <c:valAx>
        <c:axId val="180907008"/>
        <c:scaling>
          <c:orientation val="minMax"/>
          <c:min val="0.5"/>
        </c:scaling>
        <c:delete val="0"/>
        <c:axPos val="l"/>
        <c:title>
          <c:tx>
            <c:rich>
              <a:bodyPr/>
              <a:lstStyle/>
              <a:p>
                <a:pPr>
                  <a:defRPr sz="1000" b="0" i="0">
                    <a:latin typeface="Arial"/>
                    <a:ea typeface="Arial"/>
                    <a:cs typeface="Arial"/>
                  </a:defRPr>
                </a:pPr>
                <a:r>
                  <a:rPr lang="en-US"/>
                  <a:t>Annual</a:t>
                </a:r>
              </a:p>
            </c:rich>
          </c:tx>
          <c:overlay val="0"/>
        </c:title>
        <c:numFmt formatCode="General" sourceLinked="1"/>
        <c:majorTickMark val="cross"/>
        <c:minorTickMark val="cross"/>
        <c:tickLblPos val="nextTo"/>
        <c:txPr>
          <a:bodyPr/>
          <a:lstStyle/>
          <a:p>
            <a:pPr>
              <a:defRPr sz="1000" b="0" i="0">
                <a:latin typeface="Arial"/>
                <a:ea typeface="Arial"/>
                <a:cs typeface="Arial"/>
              </a:defRPr>
            </a:pPr>
            <a:endParaRPr lang="en-US"/>
          </a:p>
        </c:txPr>
        <c:crossAx val="178083328"/>
        <c:crosses val="autoZero"/>
        <c:crossBetween val="midCat"/>
      </c:valAx>
      <c:spPr>
        <a:noFill/>
        <a:ln w="25400">
          <a:noFill/>
        </a:ln>
      </c:spPr>
    </c:plotArea>
    <c:plotVisOnly val="1"/>
    <c:dispBlanksAs val="gap"/>
    <c:showDLblsOverMax val="0"/>
  </c:chart>
  <c:txPr>
    <a:bodyPr/>
    <a:lstStyle/>
    <a:p>
      <a:pPr>
        <a:defRPr sz="1000" b="0" i="0">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 </a:t>
            </a:r>
          </a:p>
        </c:rich>
      </c:tx>
      <c:overlay val="0"/>
    </c:title>
    <c:autoTitleDeleted val="0"/>
    <c:plotArea>
      <c:layout/>
      <c:scatterChart>
        <c:scatterStyle val="lineMarker"/>
        <c:varyColors val="0"/>
        <c:ser>
          <c:idx val="0"/>
          <c:order val="0"/>
          <c:spPr>
            <a:ln w="28575">
              <a:noFill/>
            </a:ln>
          </c:spPr>
          <c:marker>
            <c:symbol val="diamond"/>
            <c:size val="5"/>
            <c:spPr>
              <a:solidFill>
                <a:srgbClr val="000000"/>
              </a:solidFill>
              <a:ln w="9525">
                <a:noFill/>
              </a:ln>
            </c:spPr>
          </c:marker>
          <c:trendline>
            <c:spPr>
              <a:ln w="3175"/>
            </c:spPr>
            <c:trendlineType val="linear"/>
            <c:dispRSqr val="1"/>
            <c:dispEq val="1"/>
            <c:trendlineLbl>
              <c:layout>
                <c:manualLayout>
                  <c:x val="0.17379080973087319"/>
                  <c:y val="0.30588207724034494"/>
                </c:manualLayout>
              </c:layout>
              <c:numFmt formatCode="General" sourceLinked="0"/>
              <c:txPr>
                <a:bodyPr/>
                <a:lstStyle/>
                <a:p>
                  <a:pPr>
                    <a:defRPr sz="1000" b="0" i="0" baseline="0">
                      <a:latin typeface="Arial"/>
                      <a:ea typeface="Arial"/>
                      <a:cs typeface="Arial"/>
                    </a:defRPr>
                  </a:pPr>
                  <a:endParaRPr lang="en-US"/>
                </a:p>
              </c:txPr>
            </c:trendlineLbl>
          </c:trendline>
          <c:xVal>
            <c:numRef>
              <c:f>'BLS Data Series'!$S$10:$S$39</c:f>
              <c:numCache>
                <c:formatCode>General</c:formatCode>
                <c:ptCount val="30"/>
                <c:pt idx="0">
                  <c:v>1982</c:v>
                </c:pt>
                <c:pt idx="1">
                  <c:v>1983</c:v>
                </c:pt>
                <c:pt idx="2">
                  <c:v>1984</c:v>
                </c:pt>
                <c:pt idx="3">
                  <c:v>1985</c:v>
                </c:pt>
                <c:pt idx="4">
                  <c:v>1986</c:v>
                </c:pt>
                <c:pt idx="5">
                  <c:v>1987</c:v>
                </c:pt>
                <c:pt idx="6">
                  <c:v>1988</c:v>
                </c:pt>
                <c:pt idx="7">
                  <c:v>1989</c:v>
                </c:pt>
                <c:pt idx="8">
                  <c:v>1990</c:v>
                </c:pt>
                <c:pt idx="9">
                  <c:v>1991</c:v>
                </c:pt>
                <c:pt idx="10">
                  <c:v>1992</c:v>
                </c:pt>
                <c:pt idx="11">
                  <c:v>1993</c:v>
                </c:pt>
                <c:pt idx="12">
                  <c:v>1994</c:v>
                </c:pt>
                <c:pt idx="13">
                  <c:v>1995</c:v>
                </c:pt>
                <c:pt idx="14">
                  <c:v>1996</c:v>
                </c:pt>
                <c:pt idx="15">
                  <c:v>1997</c:v>
                </c:pt>
                <c:pt idx="16">
                  <c:v>1998</c:v>
                </c:pt>
                <c:pt idx="17">
                  <c:v>1999</c:v>
                </c:pt>
                <c:pt idx="18">
                  <c:v>2000</c:v>
                </c:pt>
                <c:pt idx="19">
                  <c:v>2001</c:v>
                </c:pt>
                <c:pt idx="20">
                  <c:v>2002</c:v>
                </c:pt>
                <c:pt idx="21">
                  <c:v>2003</c:v>
                </c:pt>
                <c:pt idx="22">
                  <c:v>2004</c:v>
                </c:pt>
                <c:pt idx="23">
                  <c:v>2005</c:v>
                </c:pt>
                <c:pt idx="24">
                  <c:v>2006</c:v>
                </c:pt>
                <c:pt idx="25">
                  <c:v>2007</c:v>
                </c:pt>
                <c:pt idx="26">
                  <c:v>2008</c:v>
                </c:pt>
                <c:pt idx="27">
                  <c:v>2009</c:v>
                </c:pt>
                <c:pt idx="28">
                  <c:v>2010</c:v>
                </c:pt>
                <c:pt idx="29">
                  <c:v>2011</c:v>
                </c:pt>
              </c:numCache>
            </c:numRef>
          </c:xVal>
          <c:yVal>
            <c:numRef>
              <c:f>'BLS Data Series'!$T$10:$T$39</c:f>
              <c:numCache>
                <c:formatCode>General</c:formatCode>
                <c:ptCount val="30"/>
                <c:pt idx="0">
                  <c:v>1.296</c:v>
                </c:pt>
                <c:pt idx="1">
                  <c:v>1.2410000000000001</c:v>
                </c:pt>
                <c:pt idx="2">
                  <c:v>1.212</c:v>
                </c:pt>
                <c:pt idx="3">
                  <c:v>1.202</c:v>
                </c:pt>
                <c:pt idx="4">
                  <c:v>0.92700000000000005</c:v>
                </c:pt>
                <c:pt idx="5">
                  <c:v>0.94799999999999995</c:v>
                </c:pt>
                <c:pt idx="6">
                  <c:v>0.94599999999999995</c:v>
                </c:pt>
                <c:pt idx="7">
                  <c:v>1.022</c:v>
                </c:pt>
                <c:pt idx="8">
                  <c:v>1.1639999999999999</c:v>
                </c:pt>
                <c:pt idx="9">
                  <c:v>1.1399999999999999</c:v>
                </c:pt>
                <c:pt idx="10">
                  <c:v>1.127</c:v>
                </c:pt>
                <c:pt idx="11">
                  <c:v>1.1080000000000001</c:v>
                </c:pt>
                <c:pt idx="12">
                  <c:v>1.1120000000000001</c:v>
                </c:pt>
                <c:pt idx="13">
                  <c:v>1.147</c:v>
                </c:pt>
                <c:pt idx="14">
                  <c:v>1.2310000000000001</c:v>
                </c:pt>
                <c:pt idx="15">
                  <c:v>1.234</c:v>
                </c:pt>
                <c:pt idx="16">
                  <c:v>1.0589999999999999</c:v>
                </c:pt>
                <c:pt idx="17">
                  <c:v>1.165</c:v>
                </c:pt>
                <c:pt idx="18">
                  <c:v>1.51</c:v>
                </c:pt>
                <c:pt idx="19">
                  <c:v>1.4610000000000001</c:v>
                </c:pt>
                <c:pt idx="20">
                  <c:v>1.3580000000000001</c:v>
                </c:pt>
                <c:pt idx="21">
                  <c:v>1.591</c:v>
                </c:pt>
                <c:pt idx="22">
                  <c:v>1.88</c:v>
                </c:pt>
                <c:pt idx="23">
                  <c:v>2.2949999999999999</c:v>
                </c:pt>
                <c:pt idx="24">
                  <c:v>2.589</c:v>
                </c:pt>
                <c:pt idx="25">
                  <c:v>2.8010000000000002</c:v>
                </c:pt>
                <c:pt idx="26">
                  <c:v>3.266</c:v>
                </c:pt>
                <c:pt idx="27">
                  <c:v>2.35</c:v>
                </c:pt>
                <c:pt idx="28">
                  <c:v>2.7879999999999998</c:v>
                </c:pt>
                <c:pt idx="29">
                  <c:v>3.129</c:v>
                </c:pt>
              </c:numCache>
            </c:numRef>
          </c:yVal>
          <c:smooth val="0"/>
        </c:ser>
        <c:dLbls>
          <c:showLegendKey val="0"/>
          <c:showVal val="0"/>
          <c:showCatName val="0"/>
          <c:showSerName val="0"/>
          <c:showPercent val="0"/>
          <c:showBubbleSize val="0"/>
        </c:dLbls>
        <c:axId val="197890048"/>
        <c:axId val="197891968"/>
      </c:scatterChart>
      <c:valAx>
        <c:axId val="197890048"/>
        <c:scaling>
          <c:orientation val="minMax"/>
        </c:scaling>
        <c:delete val="0"/>
        <c:axPos val="b"/>
        <c:title>
          <c:tx>
            <c:rich>
              <a:bodyPr/>
              <a:lstStyle/>
              <a:p>
                <a:pPr>
                  <a:defRPr sz="1000" b="0" i="0">
                    <a:latin typeface="Arial"/>
                    <a:ea typeface="Arial"/>
                    <a:cs typeface="Arial"/>
                  </a:defRPr>
                </a:pPr>
                <a:r>
                  <a:rPr lang="en-US"/>
                  <a:t>Year</a:t>
                </a:r>
              </a:p>
            </c:rich>
          </c:tx>
          <c:overlay val="0"/>
        </c:title>
        <c:numFmt formatCode="General" sourceLinked="1"/>
        <c:majorTickMark val="cross"/>
        <c:minorTickMark val="cross"/>
        <c:tickLblPos val="nextTo"/>
        <c:txPr>
          <a:bodyPr/>
          <a:lstStyle/>
          <a:p>
            <a:pPr>
              <a:defRPr sz="1000" b="0" i="0">
                <a:latin typeface="Arial"/>
                <a:ea typeface="Arial"/>
                <a:cs typeface="Arial"/>
              </a:defRPr>
            </a:pPr>
            <a:endParaRPr lang="en-US"/>
          </a:p>
        </c:txPr>
        <c:crossAx val="197891968"/>
        <c:crosses val="autoZero"/>
        <c:crossBetween val="midCat"/>
      </c:valAx>
      <c:valAx>
        <c:axId val="197891968"/>
        <c:scaling>
          <c:orientation val="minMax"/>
          <c:min val="0.5"/>
        </c:scaling>
        <c:delete val="0"/>
        <c:axPos val="l"/>
        <c:title>
          <c:tx>
            <c:rich>
              <a:bodyPr/>
              <a:lstStyle/>
              <a:p>
                <a:pPr>
                  <a:defRPr sz="1000" b="0" i="0">
                    <a:latin typeface="Arial"/>
                    <a:ea typeface="Arial"/>
                    <a:cs typeface="Arial"/>
                  </a:defRPr>
                </a:pPr>
                <a:r>
                  <a:rPr lang="en-US"/>
                  <a:t>Annual</a:t>
                </a:r>
              </a:p>
            </c:rich>
          </c:tx>
          <c:overlay val="0"/>
        </c:title>
        <c:numFmt formatCode="General" sourceLinked="1"/>
        <c:majorTickMark val="cross"/>
        <c:minorTickMark val="cross"/>
        <c:tickLblPos val="nextTo"/>
        <c:txPr>
          <a:bodyPr/>
          <a:lstStyle/>
          <a:p>
            <a:pPr>
              <a:defRPr sz="1000" b="0" i="0">
                <a:latin typeface="Arial"/>
                <a:ea typeface="Arial"/>
                <a:cs typeface="Arial"/>
              </a:defRPr>
            </a:pPr>
            <a:endParaRPr lang="en-US"/>
          </a:p>
        </c:txPr>
        <c:crossAx val="197890048"/>
        <c:crosses val="autoZero"/>
        <c:crossBetween val="midCat"/>
      </c:valAx>
      <c:spPr>
        <a:noFill/>
        <a:ln w="25400">
          <a:noFill/>
        </a:ln>
      </c:spPr>
    </c:plotArea>
    <c:plotVisOnly val="1"/>
    <c:dispBlanksAs val="gap"/>
    <c:showDLblsOverMax val="0"/>
  </c:chart>
  <c:txPr>
    <a:bodyPr/>
    <a:lstStyle/>
    <a:p>
      <a:pPr>
        <a:defRPr sz="1000" b="0" i="0">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 </a:t>
            </a:r>
          </a:p>
        </c:rich>
      </c:tx>
      <c:overlay val="0"/>
    </c:title>
    <c:autoTitleDeleted val="0"/>
    <c:plotArea>
      <c:layout/>
      <c:scatterChart>
        <c:scatterStyle val="lineMarker"/>
        <c:varyColors val="0"/>
        <c:ser>
          <c:idx val="0"/>
          <c:order val="0"/>
          <c:spPr>
            <a:ln w="28575">
              <a:noFill/>
            </a:ln>
          </c:spPr>
          <c:marker>
            <c:symbol val="diamond"/>
            <c:size val="5"/>
            <c:spPr>
              <a:solidFill>
                <a:srgbClr val="000000"/>
              </a:solidFill>
              <a:ln w="9525">
                <a:noFill/>
              </a:ln>
            </c:spPr>
          </c:marker>
          <c:trendline>
            <c:spPr>
              <a:ln w="3175"/>
            </c:spPr>
            <c:trendlineType val="poly"/>
            <c:order val="2"/>
            <c:dispRSqr val="1"/>
            <c:dispEq val="1"/>
            <c:trendlineLbl>
              <c:layout>
                <c:manualLayout>
                  <c:x val="3.9280047259049884E-2"/>
                  <c:y val="-0.1290254602651203"/>
                </c:manualLayout>
              </c:layout>
              <c:numFmt formatCode="General" sourceLinked="0"/>
              <c:txPr>
                <a:bodyPr/>
                <a:lstStyle/>
                <a:p>
                  <a:pPr>
                    <a:defRPr sz="1000" b="0" i="0" baseline="0">
                      <a:latin typeface="Arial"/>
                      <a:ea typeface="Arial"/>
                      <a:cs typeface="Arial"/>
                    </a:defRPr>
                  </a:pPr>
                  <a:endParaRPr lang="en-US"/>
                </a:p>
              </c:txPr>
            </c:trendlineLbl>
          </c:trendline>
          <c:xVal>
            <c:numRef>
              <c:f>'BLS Data Series'!$S$10:$S$39</c:f>
              <c:numCache>
                <c:formatCode>General</c:formatCode>
                <c:ptCount val="30"/>
                <c:pt idx="0">
                  <c:v>1982</c:v>
                </c:pt>
                <c:pt idx="1">
                  <c:v>1983</c:v>
                </c:pt>
                <c:pt idx="2">
                  <c:v>1984</c:v>
                </c:pt>
                <c:pt idx="3">
                  <c:v>1985</c:v>
                </c:pt>
                <c:pt idx="4">
                  <c:v>1986</c:v>
                </c:pt>
                <c:pt idx="5">
                  <c:v>1987</c:v>
                </c:pt>
                <c:pt idx="6">
                  <c:v>1988</c:v>
                </c:pt>
                <c:pt idx="7">
                  <c:v>1989</c:v>
                </c:pt>
                <c:pt idx="8">
                  <c:v>1990</c:v>
                </c:pt>
                <c:pt idx="9">
                  <c:v>1991</c:v>
                </c:pt>
                <c:pt idx="10">
                  <c:v>1992</c:v>
                </c:pt>
                <c:pt idx="11">
                  <c:v>1993</c:v>
                </c:pt>
                <c:pt idx="12">
                  <c:v>1994</c:v>
                </c:pt>
                <c:pt idx="13">
                  <c:v>1995</c:v>
                </c:pt>
                <c:pt idx="14">
                  <c:v>1996</c:v>
                </c:pt>
                <c:pt idx="15">
                  <c:v>1997</c:v>
                </c:pt>
                <c:pt idx="16">
                  <c:v>1998</c:v>
                </c:pt>
                <c:pt idx="17">
                  <c:v>1999</c:v>
                </c:pt>
                <c:pt idx="18">
                  <c:v>2000</c:v>
                </c:pt>
                <c:pt idx="19">
                  <c:v>2001</c:v>
                </c:pt>
                <c:pt idx="20">
                  <c:v>2002</c:v>
                </c:pt>
                <c:pt idx="21">
                  <c:v>2003</c:v>
                </c:pt>
                <c:pt idx="22">
                  <c:v>2004</c:v>
                </c:pt>
                <c:pt idx="23">
                  <c:v>2005</c:v>
                </c:pt>
                <c:pt idx="24">
                  <c:v>2006</c:v>
                </c:pt>
                <c:pt idx="25">
                  <c:v>2007</c:v>
                </c:pt>
                <c:pt idx="26">
                  <c:v>2008</c:v>
                </c:pt>
                <c:pt idx="27">
                  <c:v>2009</c:v>
                </c:pt>
                <c:pt idx="28">
                  <c:v>2010</c:v>
                </c:pt>
                <c:pt idx="29">
                  <c:v>2011</c:v>
                </c:pt>
              </c:numCache>
            </c:numRef>
          </c:xVal>
          <c:yVal>
            <c:numRef>
              <c:f>'BLS Data Series'!$T$10:$T$39</c:f>
              <c:numCache>
                <c:formatCode>General</c:formatCode>
                <c:ptCount val="30"/>
                <c:pt idx="0">
                  <c:v>1.296</c:v>
                </c:pt>
                <c:pt idx="1">
                  <c:v>1.2410000000000001</c:v>
                </c:pt>
                <c:pt idx="2">
                  <c:v>1.212</c:v>
                </c:pt>
                <c:pt idx="3">
                  <c:v>1.202</c:v>
                </c:pt>
                <c:pt idx="4">
                  <c:v>0.92700000000000005</c:v>
                </c:pt>
                <c:pt idx="5">
                  <c:v>0.94799999999999995</c:v>
                </c:pt>
                <c:pt idx="6">
                  <c:v>0.94599999999999995</c:v>
                </c:pt>
                <c:pt idx="7">
                  <c:v>1.022</c:v>
                </c:pt>
                <c:pt idx="8">
                  <c:v>1.1639999999999999</c:v>
                </c:pt>
                <c:pt idx="9">
                  <c:v>1.1399999999999999</c:v>
                </c:pt>
                <c:pt idx="10">
                  <c:v>1.127</c:v>
                </c:pt>
                <c:pt idx="11">
                  <c:v>1.1080000000000001</c:v>
                </c:pt>
                <c:pt idx="12">
                  <c:v>1.1120000000000001</c:v>
                </c:pt>
                <c:pt idx="13">
                  <c:v>1.147</c:v>
                </c:pt>
                <c:pt idx="14">
                  <c:v>1.2310000000000001</c:v>
                </c:pt>
                <c:pt idx="15">
                  <c:v>1.234</c:v>
                </c:pt>
                <c:pt idx="16">
                  <c:v>1.0589999999999999</c:v>
                </c:pt>
                <c:pt idx="17">
                  <c:v>1.165</c:v>
                </c:pt>
                <c:pt idx="18">
                  <c:v>1.51</c:v>
                </c:pt>
                <c:pt idx="19">
                  <c:v>1.4610000000000001</c:v>
                </c:pt>
                <c:pt idx="20">
                  <c:v>1.3580000000000001</c:v>
                </c:pt>
                <c:pt idx="21">
                  <c:v>1.591</c:v>
                </c:pt>
                <c:pt idx="22">
                  <c:v>1.88</c:v>
                </c:pt>
                <c:pt idx="23">
                  <c:v>2.2949999999999999</c:v>
                </c:pt>
                <c:pt idx="24">
                  <c:v>2.589</c:v>
                </c:pt>
                <c:pt idx="25">
                  <c:v>2.8010000000000002</c:v>
                </c:pt>
                <c:pt idx="26">
                  <c:v>3.266</c:v>
                </c:pt>
                <c:pt idx="27">
                  <c:v>2.35</c:v>
                </c:pt>
                <c:pt idx="28">
                  <c:v>2.7879999999999998</c:v>
                </c:pt>
                <c:pt idx="29">
                  <c:v>3.129</c:v>
                </c:pt>
              </c:numCache>
            </c:numRef>
          </c:yVal>
          <c:smooth val="0"/>
        </c:ser>
        <c:dLbls>
          <c:showLegendKey val="0"/>
          <c:showVal val="0"/>
          <c:showCatName val="0"/>
          <c:showSerName val="0"/>
          <c:showPercent val="0"/>
          <c:showBubbleSize val="0"/>
        </c:dLbls>
        <c:axId val="197909120"/>
        <c:axId val="197993216"/>
      </c:scatterChart>
      <c:valAx>
        <c:axId val="197909120"/>
        <c:scaling>
          <c:orientation val="minMax"/>
        </c:scaling>
        <c:delete val="0"/>
        <c:axPos val="b"/>
        <c:title>
          <c:tx>
            <c:rich>
              <a:bodyPr/>
              <a:lstStyle/>
              <a:p>
                <a:pPr>
                  <a:defRPr sz="1000" b="0" i="0">
                    <a:latin typeface="Arial"/>
                    <a:ea typeface="Arial"/>
                    <a:cs typeface="Arial"/>
                  </a:defRPr>
                </a:pPr>
                <a:r>
                  <a:rPr lang="en-US"/>
                  <a:t>Year</a:t>
                </a:r>
              </a:p>
            </c:rich>
          </c:tx>
          <c:overlay val="0"/>
        </c:title>
        <c:numFmt formatCode="General" sourceLinked="1"/>
        <c:majorTickMark val="cross"/>
        <c:minorTickMark val="cross"/>
        <c:tickLblPos val="nextTo"/>
        <c:txPr>
          <a:bodyPr/>
          <a:lstStyle/>
          <a:p>
            <a:pPr>
              <a:defRPr sz="1000" b="0" i="0">
                <a:latin typeface="Arial"/>
                <a:ea typeface="Arial"/>
                <a:cs typeface="Arial"/>
              </a:defRPr>
            </a:pPr>
            <a:endParaRPr lang="en-US"/>
          </a:p>
        </c:txPr>
        <c:crossAx val="197993216"/>
        <c:crosses val="autoZero"/>
        <c:crossBetween val="midCat"/>
      </c:valAx>
      <c:valAx>
        <c:axId val="197993216"/>
        <c:scaling>
          <c:orientation val="minMax"/>
          <c:min val="0.5"/>
        </c:scaling>
        <c:delete val="0"/>
        <c:axPos val="l"/>
        <c:title>
          <c:tx>
            <c:rich>
              <a:bodyPr/>
              <a:lstStyle/>
              <a:p>
                <a:pPr>
                  <a:defRPr sz="1000" b="0" i="0">
                    <a:latin typeface="Arial"/>
                    <a:ea typeface="Arial"/>
                    <a:cs typeface="Arial"/>
                  </a:defRPr>
                </a:pPr>
                <a:r>
                  <a:rPr lang="en-US"/>
                  <a:t>Annual</a:t>
                </a:r>
              </a:p>
            </c:rich>
          </c:tx>
          <c:overlay val="0"/>
        </c:title>
        <c:numFmt formatCode="General" sourceLinked="1"/>
        <c:majorTickMark val="cross"/>
        <c:minorTickMark val="cross"/>
        <c:tickLblPos val="nextTo"/>
        <c:txPr>
          <a:bodyPr/>
          <a:lstStyle/>
          <a:p>
            <a:pPr>
              <a:defRPr sz="1000" b="0" i="0">
                <a:latin typeface="Arial"/>
                <a:ea typeface="Arial"/>
                <a:cs typeface="Arial"/>
              </a:defRPr>
            </a:pPr>
            <a:endParaRPr lang="en-US"/>
          </a:p>
        </c:txPr>
        <c:crossAx val="197909120"/>
        <c:crosses val="autoZero"/>
        <c:crossBetween val="midCat"/>
      </c:valAx>
      <c:spPr>
        <a:noFill/>
        <a:ln w="25400">
          <a:noFill/>
        </a:ln>
      </c:spPr>
    </c:plotArea>
    <c:plotVisOnly val="1"/>
    <c:dispBlanksAs val="gap"/>
    <c:showDLblsOverMax val="0"/>
  </c:chart>
  <c:txPr>
    <a:bodyPr/>
    <a:lstStyle/>
    <a:p>
      <a:pPr>
        <a:defRPr sz="1000" b="0" i="0">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Family</dc:creator>
  <cp:lastModifiedBy>Family</cp:lastModifiedBy>
  <cp:revision>2</cp:revision>
  <dcterms:created xsi:type="dcterms:W3CDTF">2011-06-19T14:28:00Z</dcterms:created>
  <dcterms:modified xsi:type="dcterms:W3CDTF">2011-06-19T15:19:00Z</dcterms:modified>
</cp:coreProperties>
</file>